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</w:t>
      </w:r>
      <w:r>
        <w:rPr>
          <w:rStyle w:val="cat-FIOgrp-1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ч.1 ст.12.8 КоАП РФ,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 в Югорском государственном университете специалистом по аутсорсингу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гл.12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 №118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Style w:val="cat-FIOgrp-1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средством-автомобилем марки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Хёндай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Р680УТ 72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№1090 (далее-ПДД РФ), при этом действия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sz w:val="28"/>
          <w:szCs w:val="28"/>
        </w:rPr>
        <w:t>ощью защитника не воспользовалась</w:t>
      </w:r>
      <w:r>
        <w:rPr>
          <w:rFonts w:ascii="Times New Roman" w:eastAsia="Times New Roman" w:hAnsi="Times New Roman" w:cs="Times New Roman"/>
          <w:sz w:val="28"/>
          <w:szCs w:val="28"/>
        </w:rPr>
        <w:t>, вину в совершении вменяемого правонарушения не оспаривал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По обстоятельствам дела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ночное время употребил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алкогольное пиво в количестве 2-х литров</w:t>
      </w:r>
      <w:r>
        <w:rPr>
          <w:rFonts w:ascii="Times New Roman" w:eastAsia="Times New Roman" w:hAnsi="Times New Roman" w:cs="Times New Roman"/>
          <w:sz w:val="28"/>
          <w:szCs w:val="28"/>
        </w:rPr>
        <w:t>, затем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принадлежащим ей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Хёндай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Р680УТ 72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остановили сотрудники ГИБДД, предлож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пройти освидетельствование.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 прошла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алкогольного опь</w:t>
      </w:r>
      <w:r>
        <w:rPr>
          <w:rFonts w:ascii="Times New Roman" w:eastAsia="Times New Roman" w:hAnsi="Times New Roman" w:cs="Times New Roman"/>
          <w:sz w:val="28"/>
          <w:szCs w:val="28"/>
        </w:rPr>
        <w:t>янения, с результатом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раскаивается.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письменные материалы дела об административном правонарушении, видеозапись, представленную с протоколом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ч.1 ст.12.8 КоАП РФ наступает в случае управления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транспортным средством в состоянии опьянения подтверждается, исследованными судом доказательствами,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серии 86 ХМ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672254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с участием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серии 86ПК №</w:t>
      </w:r>
      <w:r>
        <w:rPr>
          <w:rFonts w:ascii="Times New Roman" w:eastAsia="Times New Roman" w:hAnsi="Times New Roman" w:cs="Times New Roman"/>
          <w:sz w:val="28"/>
          <w:szCs w:val="28"/>
        </w:rPr>
        <w:t>084704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-актом освидетельствования на состояние алкогольного опьянения серии 86ГП №</w:t>
      </w:r>
      <w:r>
        <w:rPr>
          <w:rFonts w:ascii="Times New Roman" w:eastAsia="Times New Roman" w:hAnsi="Times New Roman" w:cs="Times New Roman"/>
          <w:sz w:val="28"/>
          <w:szCs w:val="28"/>
        </w:rPr>
        <w:t>072869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бумажным носителем результатов освидетельствования, согласно которому у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опьянения, показания прибора составили 0.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этанола в выдыхаемом воздухе, с результатом освидетельствования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свидетельства о поверке №С-ВЯ/</w:t>
      </w:r>
      <w:r>
        <w:rPr>
          <w:rStyle w:val="cat-Dategrp-1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387518329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измерения анализатора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мод. 6810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имеющий 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ВВ-0179, действительной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1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-рапортами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Style w:val="cat-FIOgrp-2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-видеозаписью, на которой зафиксировано отстранение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проведением освидетельствования на состояние алкогольного опьянения, содержащихся на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доказательства отвечают признакам законности, достоверности и допустимости,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действующее водительское удостоверение серии </w:t>
      </w:r>
      <w:r>
        <w:rPr>
          <w:rStyle w:val="cat-ExternalSystemDefinedgrp-32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</w:t>
      </w:r>
      <w:r>
        <w:rPr>
          <w:rStyle w:val="cat-PhoneNumbergrp-27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4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предусмотренного ч.ч.2,4,6 ст.264 или ст.264.1 УК РФ, следовательно, действия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транспортным средством в состоянии опьянения не содержат признаков уголовно-наказуемого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ст.12.8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его личность, характер и тяжесть совершенного им правонарушения,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ставящее под угрозу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ь дорожного движения, привлекалась к административной ответственность за нарушение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обстоятельством, является признание вины и раскаяние в совершенном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срока лишения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мировой судья учитывает, что </w:t>
      </w:r>
      <w:r>
        <w:rPr>
          <w:rStyle w:val="cat-FIOgrp-17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управляла транспортным средством в состоянии опьянения в черте населенного пункта, подвергая опасности участников дорожного движения и считает справедливым назначение </w:t>
      </w:r>
      <w:r>
        <w:rPr>
          <w:rStyle w:val="cat-FIOgrp-1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лишения права управления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средствами на срок </w:t>
      </w:r>
      <w:r>
        <w:rPr>
          <w:rStyle w:val="cat-Dategrp-15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ст.ст.23.1, 29.10 КоАП РФ, мировой судья,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22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>ст.12.8 КоАП РФ,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Style w:val="cat-Sumgrp-24rplc-4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едствами на срок 1 (один) год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32.5 КоАП РФ, направить в </w:t>
      </w:r>
      <w:r>
        <w:rPr>
          <w:rStyle w:val="cat-FIOgrp-21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«Ханты-Мансийский», для исполнения.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вынесено постановление,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указанный орган в тот же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ст.32.7 КоАП РФ, в случае уклонения лица, лишенного специального права, от сдачи соответствующего удостоверения (специального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 -</w:t>
      </w:r>
      <w:r>
        <w:rPr>
          <w:rStyle w:val="cat-Addressgrp-7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(УМВД России по ХМАО-Югре) ОКТМО </w:t>
      </w:r>
      <w:r>
        <w:rPr>
          <w:rStyle w:val="cat-PhoneNumbergrp-28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860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9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0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получателя платежа: 03100643000000018700 банк получателя РКЦ Ханты-Мансийск </w:t>
      </w:r>
      <w:r>
        <w:rPr>
          <w:rStyle w:val="cat-Addressgrp-0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18811601123010001140 БИК </w:t>
      </w:r>
      <w:r>
        <w:rPr>
          <w:rStyle w:val="cat-PhoneNumbergrp-31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502500038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в течение 10 дней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23rplc-5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Times New Roman" w:eastAsia="Times New Roman" w:hAnsi="Times New Roman" w:cs="Times New Roman"/>
        <w:sz w:val="28"/>
        <w:szCs w:val="28"/>
      </w:rPr>
      <w:t>дело №5-736</w:t>
    </w:r>
    <w:r>
      <w:rPr>
        <w:rFonts w:ascii="Times New Roman" w:eastAsia="Times New Roman" w:hAnsi="Times New Roman" w:cs="Times New Roman"/>
        <w:sz w:val="28"/>
        <w:szCs w:val="28"/>
      </w:rPr>
      <w:t>-2803</w:t>
    </w:r>
    <w:r>
      <w:rPr>
        <w:rFonts w:ascii="Times New Roman" w:eastAsia="Times New Roman" w:hAnsi="Times New Roman" w:cs="Times New Roman"/>
        <w:sz w:val="28"/>
        <w:szCs w:val="28"/>
      </w:rPr>
      <w:t>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6rplc-12">
    <w:name w:val="cat-Time grp-2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0rplc-22">
    <w:name w:val="cat-Address grp-0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ExternalSystemDefinedgrp-32rplc-39">
    <w:name w:val="cat-ExternalSystemDefined grp-32 rplc-39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ExternalSystemDefinedgrp-34rplc-40">
    <w:name w:val="cat-ExternalSystemDefined grp-34 rplc-40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Dategrp-15rplc-47">
    <w:name w:val="cat-Date grp-15 rplc-47"/>
    <w:basedOn w:val="DefaultParagraphFont"/>
  </w:style>
  <w:style w:type="character" w:customStyle="1" w:styleId="cat-FIOgrp-22rplc-48">
    <w:name w:val="cat-FIO grp-22 rplc-48"/>
    <w:basedOn w:val="DefaultParagraphFont"/>
  </w:style>
  <w:style w:type="character" w:customStyle="1" w:styleId="cat-Sumgrp-24rplc-49">
    <w:name w:val="cat-Sum grp-24 rplc-49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PhoneNumbergrp-28rplc-53">
    <w:name w:val="cat-PhoneNumber grp-28 rplc-53"/>
    <w:basedOn w:val="DefaultParagraphFont"/>
  </w:style>
  <w:style w:type="character" w:customStyle="1" w:styleId="cat-PhoneNumbergrp-29rplc-54">
    <w:name w:val="cat-PhoneNumber grp-29 rplc-54"/>
    <w:basedOn w:val="DefaultParagraphFont"/>
  </w:style>
  <w:style w:type="character" w:customStyle="1" w:styleId="cat-PhoneNumbergrp-30rplc-55">
    <w:name w:val="cat-PhoneNumber grp-30 rplc-55"/>
    <w:basedOn w:val="DefaultParagraphFont"/>
  </w:style>
  <w:style w:type="character" w:customStyle="1" w:styleId="cat-Addressgrp-0rplc-56">
    <w:name w:val="cat-Address grp-0 rplc-56"/>
    <w:basedOn w:val="DefaultParagraphFont"/>
  </w:style>
  <w:style w:type="character" w:customStyle="1" w:styleId="cat-PhoneNumbergrp-31rplc-57">
    <w:name w:val="cat-PhoneNumber grp-31 rplc-57"/>
    <w:basedOn w:val="DefaultParagraphFont"/>
  </w:style>
  <w:style w:type="character" w:customStyle="1" w:styleId="cat-FIOgrp-23rplc-58">
    <w:name w:val="cat-FIO grp-23 rplc-58"/>
    <w:basedOn w:val="DefaultParagraphFont"/>
  </w:style>
  <w:style w:type="character" w:customStyle="1" w:styleId="cat-FIOgrp-23rplc-59">
    <w:name w:val="cat-FIO grp-2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